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  <w:t>关于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val="en-US" w:eastAsia="zh-CN"/>
        </w:rPr>
        <w:t>申报物理学院“大学生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  <w:t>主题创新区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val="en-US" w:eastAsia="zh-CN"/>
        </w:rPr>
        <w:t>建设项目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系、中心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为强化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我院本科生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创新实践能力培养，发挥优势科研和学科成果对人才培养的支撑，突出大学生主题创新区的示范效应，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根据《南京航空航天大学大学生主题创新区管理办法》（校教字〔2021〕52 号），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决定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开展“大学生主题创新区”的建设项目申报工作，具体包含：“新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大学生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主题创新区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主题创新区品质提升专项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两类。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一、新建主题创新区申报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1.申报条件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拥有一支具有丰硕的科研成果、研究方向相近或互补、热心于指导学生开展创新实践的指导教师队伍；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应具备较好的基础条件，能够为本科生开展创新实践活动提供良好的场地和条件；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近3年每名指导教师年均原则上应指导不少于1个与创新区主题相关的校级及以上级别的大学生科创项目；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团队相关教师近3年指导的学生取得较为出色的成果，包括指导学生发表高水平学术论文、获批专利或者在I级、II级竞赛中获奖；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各系、中心应支持有特色、有成果、有基础的主题创新区申报，不得以整个系、中心的教师队伍和学生成果打包至主题创新区。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2.建设标准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建成具有示范效应的管理制度。示范主题创新区应加强师生团队建设，营造良好的科研氛围，积极开展学术活动，实现创新区特色发展、高效产出，形成切实有效的过程管理制度和团队文化；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积极开展主题创新区的条件建设。吸引、整合校内外资源，强化主题创新区的软硬件建设，建成在国内外有影响力的创新实践条件；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形成良好的育人氛围。主题创新区的指导教师应立德树人，积极主动带领学生开展创新实践训练，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团队每年指导学生创新实践项目总数（含创新训练项目、自由探索项目）不少于5项，或每人每年指导项目数不少于2项；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生团队的科创效果显著。学生创新实践能力得到显著提升，取得一批有显示度的成果，在中国“互联网+”大学生创新创业大赛、大学生物理学术竞赛等高级别竞赛中取得佳绩，以物理学院本科生为第一作者在重要学术期刊、学校本科生学术论坛等发表学术论文，学生在创新创业实践中取得佳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3.政策支持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大学生示范主题创新区的建设周期为两年，建设期内学院给予不少于每年2万元的经费支持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，用于创新区的条件建设、项目运行和成果发表；优先推荐学校相关项目申报。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大学生示范主题创新区可根据研究情况，自主开展大学生创新项目的申报、立项、过程检查、结题工作，学院单独划拨国家级、省级、校级项目的指标。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二、主题创新区品质提升专项申报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1" w:firstLineChars="1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1.申报条件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本次“品质提升专项”申报仅面向已立项的主题创新区（附件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），旨在通过专项建设，进一步改善运行条件，提升成果质量，培育一批校级“示范主题创新区”；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创新区应确定具体的负责人，原则上应是国家级/省部级的学科专业负责人、实验室负责人、高层次人才等，具有较高学术造诣和实践经验。创新区应拥有一批相对稳定、热心于教书育人的指导教师团队。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1" w:firstLineChars="1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2.建设标准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达到校级示范主题创新区相关标准，具体要求如下：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各创新区应注重学生创新群体培养，吸纳有兴趣的低年级学生加入创新区，提升科研体验；鼓励跨学科、跨学院、跨年级组建团队，实现教师团队指导下的学生群体自主学习、自主管理、自主创新；开展形式多样、内容丰富的创新实践活动，培养学生学术志趣，增强团队凝聚力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团队每年至少指导5个校级及以上创新实践项目、且至少包含1项国家级或省级项目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各创新区应促进学生团队的创新实践能力显著提升，取得一批有显示度成果，制作实物或者原型系统，在学校认定的高级别竞赛中取得佳绩，在重要学术期刊、本科生学术论坛等发表学术论文，或申请高水准的软著、发明专利等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每年至少指导物理学院本科生以第一作者身份发表1篇高水平论文、或获得1项高水准软著、发明专利；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创新区应建有 LOGO、愿景使命和主题文化墙等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，开发专创融合实践课程、项目式课程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，积淀创新文化，营造积极向上的育人环境，传承科研品质，实现文化传承与创新。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1" w:firstLineChars="1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3.政策支持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学院根据创新区现有条件状况、绩效成果和主题方向，强化创新区条件建设。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项目建设周期为两年，在建设期内，学院为创新区品质提升提供每年不少于2万元经费支持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,优先推荐学校相关项目申报;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定期对创新区进行考核评价，对成果显著、运行良好的创新区加大投入。对无明显成效、运行停滞的创新区中止建设。对于实现特色发展、高效产出的创新区，学院给予重点建设和宣传，优先推荐参评示范大学生示范主题创新区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学院开展创新区科创项目发布、学术夏令营、成果展示等活动，推进创新区宣传和影响力提升。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大学生示范主题创新区可根据研究情况，自主开展大学生创新项目的申报、立项、过程检查、结题工作，学院单独划拨国家级、省级、校级项目的指标。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三、申报材料要求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申报“新建主题创新区”的填写附件1，申报“主题创新区品质提升专项”的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instrText xml:space="preserve"> HYPERLINK "mailto:请各系、中心通知相关的大学生主题创新区，有意向申报的创新区于9月23日前填写附件材料，电子版发送至jxb021@nuaa.edu.cn" </w:instrTex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请填写附件2，并将相关材料电子版于9月26日前发送至jxb021@nuaa.edu.cn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，纸质版提交至学院教学办（514办公室）。如有相关问题或建议，请联系学院教学办，联系人：刘威，电话：52113704。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Style w:val="7"/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附件1：新建主题创新区申请表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Style w:val="7"/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附件2：主题创新区品质提升专项申请表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Style w:val="7"/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附件3：南京航空航天大学大学生主题创新区管理办法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Style w:val="7"/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附件</w:t>
      </w:r>
      <w:r>
        <w:rPr>
          <w:rStyle w:val="7"/>
          <w:rFonts w:hint="default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4</w:t>
      </w:r>
      <w:r>
        <w:rPr>
          <w:rStyle w:val="7"/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：物理学院已立项主题创新区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Style w:val="7"/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物理学院教学办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2022.9.15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7"/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51F36E9-AC30-46F8-8B63-842E12F831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77DD18-6A63-4D94-90DA-AD04701C137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  <w:color w:val="auto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00000005"/>
    <w:multiLevelType w:val="singleLevel"/>
    <w:tmpl w:val="00000005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00000006"/>
    <w:multiLevelType w:val="singleLevel"/>
    <w:tmpl w:val="00000006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OTAzODdkMGE1Yzc2NTk1ZjA3NDYwYzk1ZTIxZTAifQ=="/>
  </w:docVars>
  <w:rsids>
    <w:rsidRoot w:val="00000000"/>
    <w:rsid w:val="16923B57"/>
    <w:rsid w:val="2C1638CE"/>
    <w:rsid w:val="2E0930F4"/>
    <w:rsid w:val="61572249"/>
    <w:rsid w:val="6CEE503D"/>
    <w:rsid w:val="7CDF03A0"/>
    <w:rsid w:val="7D56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2052</Words>
  <Characters>2101</Characters>
  <Paragraphs>44</Paragraphs>
  <TotalTime>4</TotalTime>
  <ScaleCrop>false</ScaleCrop>
  <LinksUpToDate>false</LinksUpToDate>
  <CharactersWithSpaces>2103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2022-09-13T13:00:00Z</dcterms:created>
  <dc:creator>ASUS</dc:creator>
  <cp:lastModifiedBy>刘威</cp:lastModifiedBy>
  <dcterms:modified xsi:type="dcterms:W3CDTF">2022-09-17T06:42:07Z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E0C5E83843CA419F9852A57968C6C512</vt:lpwstr>
  </property>
</Properties>
</file>